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left"/>
        <w:outlineLvl w:val="1"/>
        <w:rPr>
          <w:rFonts w:ascii="Arial" w:hAnsi="Arial" w:eastAsia="宋体" w:cs="Arial"/>
          <w:b/>
          <w:bCs/>
          <w:color w:val="E60010"/>
          <w:kern w:val="0"/>
          <w:sz w:val="33"/>
          <w:szCs w:val="33"/>
        </w:rPr>
      </w:pPr>
      <w:r>
        <w:rPr>
          <w:rFonts w:ascii="Arial" w:hAnsi="Arial" w:eastAsia="宋体" w:cs="Arial"/>
          <w:b/>
          <w:bCs/>
          <w:color w:val="E60010"/>
          <w:kern w:val="0"/>
          <w:sz w:val="33"/>
          <w:szCs w:val="33"/>
        </w:rPr>
        <w:t>LT Series CNC Laser Tube Cutting System</w:t>
      </w:r>
    </w:p>
    <w:p>
      <w:pPr>
        <w:widowControl/>
        <w:spacing w:line="360" w:lineRule="atLeast"/>
        <w:jc w:val="left"/>
        <w:rPr>
          <w:rFonts w:ascii="Arial" w:hAnsi="Arial" w:eastAsia="宋体" w:cs="Arial"/>
          <w:color w:val="666666"/>
          <w:kern w:val="0"/>
          <w:sz w:val="18"/>
          <w:szCs w:val="18"/>
        </w:rPr>
      </w:pPr>
    </w:p>
    <w:p>
      <w:pPr>
        <w:widowControl/>
        <w:spacing w:line="360" w:lineRule="atLeast"/>
        <w:jc w:val="left"/>
        <w:rPr>
          <w:rFonts w:ascii="Arial" w:hAnsi="Arial" w:eastAsia="宋体" w:cs="Arial"/>
          <w:color w:val="666666"/>
          <w:kern w:val="0"/>
          <w:sz w:val="18"/>
          <w:szCs w:val="18"/>
        </w:rPr>
      </w:pPr>
      <w:r>
        <w:rPr>
          <w:rFonts w:ascii="Arial" w:hAnsi="Arial" w:eastAsia="宋体" w:cs="Arial"/>
          <w:color w:val="666666"/>
          <w:kern w:val="0"/>
          <w:sz w:val="18"/>
          <w:szCs w:val="18"/>
        </w:rPr>
        <w:t>Tube and rectangular tube can finish full automatic feeding without human operation. Deformed tubes can achieve artificial semi-automatic feeding. The fast corner response improves cutting efficiency greatly. The workpieces can be unloaded automatically in different areas after cutting.</w:t>
      </w:r>
    </w:p>
    <w:p/>
    <w:p>
      <w:pPr>
        <w:widowControl/>
        <w:spacing w:line="360" w:lineRule="atLeast"/>
        <w:rPr>
          <w:rFonts w:ascii="Arial" w:hAnsi="Arial" w:eastAsia="宋体" w:cs="Arial"/>
          <w:color w:val="666666"/>
          <w:kern w:val="0"/>
          <w:sz w:val="18"/>
          <w:szCs w:val="18"/>
        </w:rPr>
      </w:pPr>
      <w:r>
        <w:rPr>
          <w:rFonts w:ascii="Arial" w:hAnsi="Arial" w:eastAsia="宋体" w:cs="Arial"/>
          <w:color w:val="666666"/>
          <w:kern w:val="0"/>
          <w:sz w:val="18"/>
          <w:szCs w:val="18"/>
        </w:rPr>
        <w:t>LT Series is a milestone advancement in new fiber laser cutting technology. Specifically designed for high volume cutting of tubes and pipes the LT 9035 and LT 7535 provide far greater efficiency than normal laser systems when cutting pipes and tubular metals.</w:t>
      </w:r>
    </w:p>
    <w:p>
      <w:pPr>
        <w:widowControl/>
        <w:spacing w:line="360" w:lineRule="atLeast"/>
        <w:jc w:val="left"/>
        <w:rPr>
          <w:rFonts w:ascii="Arial" w:hAnsi="Arial" w:eastAsia="宋体" w:cs="Arial"/>
          <w:color w:val="666666"/>
          <w:kern w:val="0"/>
          <w:sz w:val="18"/>
          <w:szCs w:val="18"/>
        </w:rPr>
      </w:pPr>
      <w:r>
        <w:rPr>
          <w:rFonts w:ascii="Arial" w:hAnsi="Arial" w:eastAsia="宋体" w:cs="Arial"/>
          <w:color w:val="666666"/>
          <w:kern w:val="0"/>
          <w:sz w:val="18"/>
          <w:szCs w:val="18"/>
        </w:rPr>
        <w:t>Tube and rectangular tube can finish full automatic feeding without human operation. Deformed tubes can achieve artificial semi-automatic feeding. The fast corner response improves cutting efficiency greatly. The workpieces can be unloaded automatically in different areas after cutting.</w:t>
      </w:r>
      <w:r>
        <w:rPr>
          <w:rFonts w:ascii="Arial" w:hAnsi="Arial" w:eastAsia="宋体" w:cs="Arial"/>
          <w:b/>
          <w:bCs/>
          <w:color w:val="666666"/>
          <w:kern w:val="0"/>
          <w:sz w:val="18"/>
          <w:szCs w:val="18"/>
        </w:rPr>
        <w:t> </w:t>
      </w:r>
    </w:p>
    <w:p/>
    <w:p>
      <w:pPr>
        <w:widowControl/>
        <w:shd w:val="clear" w:color="auto" w:fill="FFFFFF"/>
        <w:spacing w:line="360" w:lineRule="atLeast"/>
        <w:jc w:val="left"/>
        <w:textAlignment w:val="baseline"/>
        <w:rPr>
          <w:rFonts w:ascii="Arial" w:hAnsi="Arial" w:eastAsia="宋体" w:cs="Arial"/>
          <w:color w:val="333333"/>
          <w:kern w:val="0"/>
          <w:sz w:val="18"/>
          <w:szCs w:val="18"/>
        </w:rPr>
      </w:pPr>
      <w:r>
        <w:rPr>
          <w:rFonts w:ascii="Arial" w:hAnsi="Arial" w:eastAsia="宋体" w:cs="Arial"/>
          <w:color w:val="333333"/>
          <w:kern w:val="0"/>
          <w:sz w:val="18"/>
          <w:szCs w:val="18"/>
        </w:rPr>
        <w:t>Farley Laserlabs new LT Series is a milestone advancement in new fiber laser cutting technology.</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Specifically designed for high volume cutting of tubes and pipes the LT 9035 provides far greater efficiency than normal laser systems when cutting pipes and tubular metals.</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New enhancements allow the LT9035 to position and move tubes and pipes mechanically (eliminating manual handling) to increase speed, precision and productivity.</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Exclusive Functions of the 9035 Laser Pipe Cutting Machine</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Full automatic Feeding system – regular and rectangular pipes can be integrated into a fully automated feeding process, without human operation.</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Advanced clamping system can self adjust focus according to material size, automatically adjusting clamping force, this ensures that the correct amount of clamping force is applied so that pipes do not get damaged.</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Corner fast cutting system provides fast response to corners, greatly improving cutting efficiency.</w:t>
      </w:r>
    </w:p>
    <w:p>
      <w:pPr>
        <w:widowControl/>
        <w:shd w:val="clear" w:color="auto" w:fill="FFFFFF"/>
        <w:spacing w:line="324" w:lineRule="atLeast"/>
        <w:jc w:val="left"/>
        <w:textAlignment w:val="baseline"/>
        <w:rPr>
          <w:rFonts w:ascii="Arial" w:hAnsi="Arial" w:eastAsia="宋体" w:cs="Arial"/>
          <w:color w:val="000000"/>
          <w:kern w:val="0"/>
          <w:sz w:val="18"/>
          <w:szCs w:val="18"/>
        </w:rPr>
      </w:pPr>
      <w:r>
        <w:rPr>
          <w:rFonts w:ascii="Arial" w:hAnsi="Arial" w:eastAsia="宋体" w:cs="Arial"/>
          <w:color w:val="000000"/>
          <w:kern w:val="0"/>
          <w:sz w:val="18"/>
          <w:szCs w:val="18"/>
        </w:rPr>
        <w:t>High efficiency unloading system – the LT9035 can be set to automatically unload finished work pieces, gently and safely in designated areasFarley Laserlabs new LT9035 is a milestone advancement in new fiber laser cutting technology.</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color w:val="333333"/>
          <w:kern w:val="0"/>
          <w:sz w:val="18"/>
          <w:szCs w:val="18"/>
        </w:rPr>
        <w:t>Specifically designed for high volume cutting of tubes and pipes the LT 9035 and LT 7535 provide far greater efficiency than normal laser systems when cutting pipes and tubular metals.</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color w:val="333333"/>
          <w:kern w:val="0"/>
          <w:sz w:val="18"/>
          <w:szCs w:val="18"/>
        </w:rPr>
        <w:t>New enhancements allow the LT Series to position and move tubes and pipes mechanically (eliminating manual handling) to increase speed, precision and productivity.</w:t>
      </w:r>
    </w:p>
    <w:p>
      <w:pPr>
        <w:widowControl/>
        <w:shd w:val="clear" w:color="auto" w:fill="FFFFFF"/>
        <w:spacing w:line="360" w:lineRule="atLeast"/>
        <w:jc w:val="center"/>
        <w:textAlignment w:val="baseline"/>
        <w:rPr>
          <w:rFonts w:ascii="Arial" w:hAnsi="Arial" w:eastAsia="宋体" w:cs="Arial"/>
          <w:color w:val="333333"/>
          <w:kern w:val="0"/>
          <w:sz w:val="18"/>
          <w:szCs w:val="18"/>
        </w:rPr>
      </w:pPr>
      <w:r>
        <w:rPr>
          <w:rFonts w:ascii="Arial" w:hAnsi="Arial" w:eastAsia="宋体" w:cs="Arial"/>
          <w:color w:val="333333"/>
          <w:kern w:val="0"/>
          <w:sz w:val="18"/>
          <w:szCs w:val="18"/>
        </w:rPr>
        <mc:AlternateContent>
          <mc:Choice Requires="wps">
            <w:drawing>
              <wp:inline distT="0" distB="0" distL="0" distR="0">
                <wp:extent cx="304800" cy="304800"/>
                <wp:effectExtent l="0" t="0" r="0" b="0"/>
                <wp:docPr id="1" name="矩形 1" descr="http://www.farleylaserlab.com/UploadFiles/Images/admin/201608/vile3ieb.vsp.jpg.axd?width=600&amp;height=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www.farleylaserlab.com/UploadFiles/Images/admin/201608/vile3ieb.vsp.jpg.axd?width=600&amp;height=450"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8yWdNIAAAADAQAADwAAAAAAAAABACAAAAAiAAAAZHJzL2Rvd25yZXYu&#10;eG1sUEsBAhQAFAAAAAgAh07iQPCDXHY6AgAANQQAAA4AAAAAAAAAAQAgAAAAIQEAAGRycy9lMm9E&#10;b2MueG1sUEsFBgAAAAAGAAYAWQEAAM0FAAAAAA==&#10;">
                <v:fill on="f" focussize="0,0"/>
                <v:stroke on="f"/>
                <v:imagedata o:title=""/>
                <o:lock v:ext="edit" aspectratio="t"/>
                <w10:wrap type="none"/>
                <w10:anchorlock/>
              </v:rect>
            </w:pict>
          </mc:Fallback>
        </mc:AlternateConten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Exclusive Functions of the LT Series Laser Pipe Cutting Machine</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Full automatic Feeding system</w:t>
      </w:r>
      <w:r>
        <w:rPr>
          <w:rFonts w:ascii="Arial" w:hAnsi="Arial" w:eastAsia="宋体" w:cs="Arial"/>
          <w:color w:val="333333"/>
          <w:kern w:val="0"/>
          <w:sz w:val="18"/>
          <w:szCs w:val="18"/>
        </w:rPr>
        <w:t> – Regular and rectangular pipes can be integrated into a fully automated feeding process, without human operation.</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Advanced clamping system</w:t>
      </w:r>
      <w:r>
        <w:rPr>
          <w:rFonts w:ascii="Arial" w:hAnsi="Arial" w:eastAsia="宋体" w:cs="Arial"/>
          <w:color w:val="333333"/>
          <w:kern w:val="0"/>
          <w:sz w:val="18"/>
          <w:szCs w:val="18"/>
        </w:rPr>
        <w:t> – It can self adjust focus according to material size and clamping force, which ensures that correct amount of clamping force is applied so that pipes do not get damaged.</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Corner fast cutting system</w:t>
      </w:r>
      <w:r>
        <w:rPr>
          <w:rFonts w:ascii="Arial" w:hAnsi="Arial" w:eastAsia="宋体" w:cs="Arial"/>
          <w:color w:val="333333"/>
          <w:kern w:val="0"/>
          <w:sz w:val="18"/>
          <w:szCs w:val="18"/>
        </w:rPr>
        <w:t> – It provides fast response to corners, greatly improving cutting efficiency.</w:t>
      </w:r>
    </w:p>
    <w:p>
      <w:pPr>
        <w:widowControl/>
        <w:shd w:val="clear" w:color="auto" w:fill="FFFFFF"/>
        <w:spacing w:line="360" w:lineRule="atLeast"/>
        <w:textAlignment w:val="baseline"/>
        <w:rPr>
          <w:rFonts w:ascii="Arial" w:hAnsi="Arial" w:eastAsia="宋体" w:cs="Arial"/>
          <w:color w:val="333333"/>
          <w:kern w:val="0"/>
          <w:sz w:val="18"/>
          <w:szCs w:val="18"/>
        </w:rPr>
      </w:pPr>
      <w:r>
        <w:rPr>
          <w:rFonts w:ascii="Arial" w:hAnsi="Arial" w:eastAsia="宋体" w:cs="Arial"/>
          <w:b/>
          <w:bCs/>
          <w:color w:val="333333"/>
          <w:kern w:val="0"/>
          <w:sz w:val="18"/>
          <w:szCs w:val="18"/>
        </w:rPr>
        <w:t>High efficiency unloading system</w:t>
      </w:r>
      <w:r>
        <w:rPr>
          <w:rFonts w:ascii="Arial" w:hAnsi="Arial" w:eastAsia="宋体" w:cs="Arial"/>
          <w:color w:val="333333"/>
          <w:kern w:val="0"/>
          <w:sz w:val="18"/>
          <w:szCs w:val="18"/>
        </w:rPr>
        <w:t> – the LT Series can be set to automatically unload finished work pieces, gently and safely in designated areas.</w:t>
      </w:r>
    </w:p>
    <w:p/>
    <w:p/>
    <w:tbl>
      <w:tblPr>
        <w:tblStyle w:val="4"/>
        <w:tblW w:w="7560"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90"/>
        <w:gridCol w:w="2580"/>
        <w:gridCol w:w="309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18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Parameter</w:t>
            </w:r>
          </w:p>
        </w:tc>
        <w:tc>
          <w:tcPr>
            <w:tcW w:w="25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LT9035</w:t>
            </w:r>
          </w:p>
        </w:tc>
        <w:tc>
          <w:tcPr>
            <w:tcW w:w="30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LT7535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Processing Range</w:t>
            </w:r>
          </w:p>
        </w:tc>
        <w:tc>
          <w:tcPr>
            <w:tcW w:w="25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20x10mm- 180x180mm</w:t>
            </w:r>
          </w:p>
        </w:tc>
        <w:tc>
          <w:tcPr>
            <w:tcW w:w="30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20x10mm- 180x180mm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Standard Material</w:t>
            </w:r>
          </w:p>
        </w:tc>
        <w:tc>
          <w:tcPr>
            <w:tcW w:w="25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CS, SS, ALU Alloy</w:t>
            </w:r>
          </w:p>
        </w:tc>
        <w:tc>
          <w:tcPr>
            <w:tcW w:w="30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CS, SS, ALU Alloy</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Cutting length</w:t>
            </w:r>
          </w:p>
        </w:tc>
        <w:tc>
          <w:tcPr>
            <w:tcW w:w="25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Max. Length 7500mm</w:t>
            </w:r>
          </w:p>
        </w:tc>
        <w:tc>
          <w:tcPr>
            <w:tcW w:w="30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Max. Length 8500mm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18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Automatic feeding Pipe length</w:t>
            </w:r>
          </w:p>
        </w:tc>
        <w:tc>
          <w:tcPr>
            <w:tcW w:w="25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2000- 9000mm</w:t>
            </w:r>
          </w:p>
        </w:tc>
        <w:tc>
          <w:tcPr>
            <w:tcW w:w="30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2000- 9000mm</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18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Feeding stand bearing</w:t>
            </w:r>
          </w:p>
        </w:tc>
        <w:tc>
          <w:tcPr>
            <w:tcW w:w="25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4000KG</w:t>
            </w:r>
          </w:p>
        </w:tc>
        <w:tc>
          <w:tcPr>
            <w:tcW w:w="30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4000KG</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CNC Axis No.</w:t>
            </w:r>
          </w:p>
        </w:tc>
        <w:tc>
          <w:tcPr>
            <w:tcW w:w="25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12</w:t>
            </w:r>
          </w:p>
        </w:tc>
        <w:tc>
          <w:tcPr>
            <w:tcW w:w="30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CNC</w:t>
            </w:r>
          </w:p>
        </w:tc>
        <w:tc>
          <w:tcPr>
            <w:tcW w:w="25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Siemens 840D</w:t>
            </w:r>
          </w:p>
        </w:tc>
        <w:tc>
          <w:tcPr>
            <w:tcW w:w="309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Siemens 840D</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18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Laser Source</w:t>
            </w:r>
          </w:p>
        </w:tc>
        <w:tc>
          <w:tcPr>
            <w:tcW w:w="25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1000—4000W</w:t>
            </w:r>
          </w:p>
        </w:tc>
        <w:tc>
          <w:tcPr>
            <w:tcW w:w="309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1000—4000W</w:t>
            </w:r>
          </w:p>
        </w:tc>
      </w:tr>
    </w:tbl>
    <w:p>
      <w:pPr>
        <w:widowControl/>
        <w:jc w:val="left"/>
        <w:rPr>
          <w:rFonts w:ascii="宋体" w:hAnsi="宋体" w:eastAsia="宋体" w:cs="宋体"/>
          <w:kern w:val="0"/>
          <w:sz w:val="24"/>
          <w:szCs w:val="24"/>
        </w:rPr>
      </w:pPr>
    </w:p>
    <w:tbl>
      <w:tblPr>
        <w:tblStyle w:val="4"/>
        <w:tblW w:w="7575"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15"/>
        <w:gridCol w:w="1080"/>
        <w:gridCol w:w="1215"/>
        <w:gridCol w:w="1545"/>
        <w:gridCol w:w="1245"/>
        <w:gridCol w:w="15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91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Material</w:t>
            </w: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Thickness</w:t>
            </w:r>
          </w:p>
        </w:tc>
        <w:tc>
          <w:tcPr>
            <w:tcW w:w="121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LaserPower</w:t>
            </w: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Cutting Speed [m/min]</w:t>
            </w:r>
          </w:p>
        </w:tc>
        <w:tc>
          <w:tcPr>
            <w:tcW w:w="12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Cutting Gas</w:t>
            </w: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Gas Pressure [bar]</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915" w:type="dxa"/>
            <w:vMerge w:val="restart"/>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Mild Steel</w:t>
            </w: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w:t>
            </w:r>
          </w:p>
        </w:tc>
        <w:tc>
          <w:tcPr>
            <w:tcW w:w="1215" w:type="dxa"/>
            <w:vMerge w:val="restart"/>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2000 W</w:t>
            </w: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9,10</w:t>
            </w:r>
          </w:p>
        </w:tc>
        <w:tc>
          <w:tcPr>
            <w:tcW w:w="1245" w:type="dxa"/>
            <w:vMerge w:val="restart"/>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O</w:t>
            </w:r>
            <w:r>
              <w:rPr>
                <w:rFonts w:ascii="Arial" w:hAnsi="Arial" w:eastAsia="宋体" w:cs="Arial"/>
                <w:color w:val="454545"/>
                <w:kern w:val="0"/>
                <w:sz w:val="18"/>
                <w:szCs w:val="18"/>
                <w:vertAlign w:val="subscript"/>
              </w:rPr>
              <w:t>2</w:t>
            </w: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2</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5,60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3</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3,70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4</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3,10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5</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2,30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6</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2,00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7</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1,50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8</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1,40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9</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1,10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0,80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11</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0,50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915" w:type="dxa"/>
            <w:vMerge w:val="restart"/>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Stainless Steel</w:t>
            </w: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4,60</w:t>
            </w:r>
          </w:p>
        </w:tc>
        <w:tc>
          <w:tcPr>
            <w:tcW w:w="1245" w:type="dxa"/>
            <w:vMerge w:val="restart"/>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N</w:t>
            </w:r>
            <w:r>
              <w:rPr>
                <w:rFonts w:ascii="Arial" w:hAnsi="Arial" w:eastAsia="宋体" w:cs="Arial"/>
                <w:color w:val="333333"/>
                <w:kern w:val="0"/>
                <w:sz w:val="18"/>
                <w:szCs w:val="18"/>
                <w:vertAlign w:val="subscript"/>
              </w:rPr>
              <w:t>2</w:t>
            </w: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2,80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3</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1,80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080"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4</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1,60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575" w:type="dxa"/>
            <w:tcBorders>
              <w:top w:val="nil"/>
              <w:left w:val="nil"/>
              <w:bottom w:val="single" w:color="666666" w:sz="6" w:space="0"/>
              <w:right w:val="single" w:color="666666" w:sz="6" w:space="0"/>
            </w:tcBorders>
            <w:shd w:val="clear" w:color="auto" w:fill="auto"/>
            <w:tcMar>
              <w:top w:w="30" w:type="dxa"/>
              <w:left w:w="60" w:type="dxa"/>
              <w:bottom w:w="30" w:type="dxa"/>
              <w:right w:w="60" w:type="dxa"/>
            </w:tcMar>
            <w:vAlign w:val="center"/>
          </w:tcPr>
          <w:p>
            <w:pPr>
              <w:widowControl/>
              <w:spacing w:line="420" w:lineRule="atLeast"/>
              <w:jc w:val="center"/>
              <w:rPr>
                <w:rFonts w:ascii="Arial" w:hAnsi="Arial" w:eastAsia="宋体" w:cs="Arial"/>
                <w:color w:val="454545"/>
                <w:kern w:val="0"/>
                <w:sz w:val="18"/>
                <w:szCs w:val="18"/>
              </w:rPr>
            </w:pPr>
            <w:r>
              <w:rPr>
                <w:rFonts w:ascii="Arial" w:hAnsi="Arial" w:eastAsia="宋体" w:cs="Arial"/>
                <w:color w:val="454545"/>
                <w:kern w:val="0"/>
                <w:sz w:val="18"/>
                <w:szCs w:val="18"/>
              </w:rPr>
              <w:t>12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85" w:hRule="atLeast"/>
          <w:tblCellSpacing w:w="0" w:type="dxa"/>
        </w:trPr>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080"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5</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454545"/>
                <w:kern w:val="0"/>
                <w:sz w:val="18"/>
                <w:szCs w:val="18"/>
              </w:rPr>
            </w:pPr>
          </w:p>
        </w:tc>
        <w:tc>
          <w:tcPr>
            <w:tcW w:w="154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1,20</w:t>
            </w:r>
          </w:p>
        </w:tc>
        <w:tc>
          <w:tcPr>
            <w:tcW w:w="0" w:type="auto"/>
            <w:vMerge w:val="continue"/>
            <w:tcBorders>
              <w:top w:val="nil"/>
              <w:left w:val="nil"/>
              <w:bottom w:val="single" w:color="666666" w:sz="6" w:space="0"/>
              <w:right w:val="single" w:color="666666" w:sz="6" w:space="0"/>
            </w:tcBorders>
            <w:shd w:val="clear" w:color="auto" w:fill="FFFFFF"/>
            <w:vAlign w:val="center"/>
          </w:tcPr>
          <w:p>
            <w:pPr>
              <w:widowControl/>
              <w:spacing w:line="324" w:lineRule="atLeast"/>
              <w:jc w:val="left"/>
              <w:rPr>
                <w:rFonts w:ascii="Arial" w:hAnsi="Arial" w:eastAsia="宋体" w:cs="Arial"/>
                <w:color w:val="333333"/>
                <w:kern w:val="0"/>
                <w:sz w:val="18"/>
                <w:szCs w:val="18"/>
              </w:rPr>
            </w:pPr>
          </w:p>
        </w:tc>
        <w:tc>
          <w:tcPr>
            <w:tcW w:w="1575" w:type="dxa"/>
            <w:tcBorders>
              <w:top w:val="nil"/>
              <w:left w:val="nil"/>
              <w:bottom w:val="single" w:color="666666" w:sz="6" w:space="0"/>
              <w:right w:val="single" w:color="666666" w:sz="6" w:space="0"/>
            </w:tcBorders>
            <w:shd w:val="clear" w:color="auto" w:fill="EBEBEB"/>
            <w:tcMar>
              <w:top w:w="30" w:type="dxa"/>
              <w:left w:w="60" w:type="dxa"/>
              <w:bottom w:w="30" w:type="dxa"/>
              <w:right w:w="60" w:type="dxa"/>
            </w:tcMar>
            <w:vAlign w:val="center"/>
          </w:tcPr>
          <w:p>
            <w:pPr>
              <w:widowControl/>
              <w:spacing w:line="420" w:lineRule="atLeast"/>
              <w:jc w:val="center"/>
              <w:rPr>
                <w:rFonts w:ascii="Arial" w:hAnsi="Arial" w:eastAsia="宋体" w:cs="Arial"/>
                <w:color w:val="333333"/>
                <w:kern w:val="0"/>
                <w:sz w:val="18"/>
                <w:szCs w:val="18"/>
              </w:rPr>
            </w:pPr>
            <w:r>
              <w:rPr>
                <w:rFonts w:ascii="Arial" w:hAnsi="Arial" w:eastAsia="宋体" w:cs="Arial"/>
                <w:color w:val="333333"/>
                <w:kern w:val="0"/>
                <w:sz w:val="18"/>
                <w:szCs w:val="18"/>
              </w:rPr>
              <w:t>14</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12"/>
    <w:rsid w:val="005435C3"/>
    <w:rsid w:val="00595712"/>
    <w:rsid w:val="1F42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Char"/>
    <w:basedOn w:val="5"/>
    <w:link w:val="2"/>
    <w:qFormat/>
    <w:uiPriority w:val="9"/>
    <w:rPr>
      <w:rFonts w:ascii="宋体" w:hAnsi="宋体" w:eastAsia="宋体" w:cs="宋体"/>
      <w:b/>
      <w:bCs/>
      <w:kern w:val="0"/>
      <w:sz w:val="36"/>
      <w:szCs w:val="36"/>
    </w:rPr>
  </w:style>
  <w:style w:type="character" w:customStyle="1" w:styleId="8">
    <w:name w:val="share"/>
    <w:basedOn w:val="5"/>
    <w:qFormat/>
    <w:uiPriority w:val="0"/>
  </w:style>
  <w:style w:type="character" w:customStyle="1" w:styleId="9">
    <w:name w:val="apple-converted-space"/>
    <w:basedOn w:val="5"/>
    <w:qFormat/>
    <w:uiPriority w:val="0"/>
  </w:style>
  <w:style w:type="paragraph" w:customStyle="1" w:styleId="10">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4</Pages>
  <Words>567</Words>
  <Characters>3234</Characters>
  <Lines>26</Lines>
  <Paragraphs>7</Paragraphs>
  <TotalTime>2</TotalTime>
  <ScaleCrop>false</ScaleCrop>
  <LinksUpToDate>false</LinksUpToDate>
  <CharactersWithSpaces>3794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2017-07-29T02:44:00Z</dcterms:created>
  <dc:creator>Administrator</dc:creator>
  <cp:lastModifiedBy>。</cp:lastModifiedBy>
  <dcterms:modified xsi:type="dcterms:W3CDTF">2020-07-15T09:29:47Z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